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b/>
          <w:bCs/>
          <w:lang w:val="en-US" w:eastAsia="zh-CN"/>
        </w:rPr>
      </w:pPr>
      <w:r>
        <w:rPr>
          <w:rFonts w:ascii="Arial" w:hAnsi="Arial" w:cs="Arial"/>
          <w:b/>
          <w:bCs/>
        </w:rPr>
        <w:t xml:space="preserve">3GPP TSG-RAN WG4 Meeting # </w:t>
      </w:r>
      <w:r>
        <w:rPr>
          <w:rFonts w:ascii="Arial" w:hAnsi="Arial" w:cs="Arial"/>
          <w:b/>
        </w:rPr>
        <w:t>1</w:t>
      </w:r>
      <w:r>
        <w:rPr>
          <w:rFonts w:hint="eastAsia" w:ascii="Arial" w:hAnsi="Arial" w:cs="Arial"/>
          <w:b/>
          <w:lang w:val="en-US" w:eastAsia="zh-CN"/>
        </w:rPr>
        <w:t>11</w:t>
      </w:r>
      <w:r>
        <w:rPr>
          <w:rFonts w:ascii="Arial" w:hAnsi="Arial" w:cs="Arial"/>
          <w:b/>
          <w:bCs/>
        </w:rPr>
        <w:t xml:space="preserve"> </w:t>
      </w:r>
      <w:bookmarkStart w:id="0" w:name="_Hlk41145946"/>
      <w:r>
        <w:rPr>
          <w:rFonts w:hint="eastAsia" w:ascii="Arial" w:hAnsi="Arial" w:cs="Arial"/>
          <w:b/>
          <w:bCs/>
        </w:rPr>
        <w:tab/>
      </w:r>
      <w:r>
        <w:rPr>
          <w:rFonts w:hint="eastAsia" w:ascii="Arial" w:hAnsi="Arial" w:cs="Arial"/>
          <w:b/>
          <w:bCs/>
        </w:rPr>
        <w:tab/>
      </w:r>
      <w:r>
        <w:rPr>
          <w:rFonts w:ascii="Arial" w:hAnsi="Arial" w:cs="Arial"/>
          <w:b/>
          <w:bCs/>
        </w:rPr>
        <w:t>R4-2</w:t>
      </w:r>
      <w:bookmarkEnd w:id="0"/>
      <w:r>
        <w:rPr>
          <w:rFonts w:hint="eastAsia" w:ascii="Arial" w:hAnsi="Arial" w:cs="Arial"/>
          <w:b/>
          <w:bCs/>
          <w:lang w:val="en-US" w:eastAsia="zh-CN"/>
        </w:rPr>
        <w:t>407927</w:t>
      </w:r>
    </w:p>
    <w:p>
      <w:pPr>
        <w:tabs>
          <w:tab w:val="left" w:pos="3106"/>
          <w:tab w:val="center" w:pos="4536"/>
          <w:tab w:val="right" w:pos="9072"/>
        </w:tabs>
        <w:jc w:val="both"/>
        <w:rPr>
          <w:rFonts w:ascii="Arial" w:hAnsi="Arial" w:cs="Arial"/>
          <w:b/>
          <w:bCs/>
          <w:highlight w:val="none"/>
        </w:rPr>
      </w:pPr>
      <w:r>
        <w:rPr>
          <w:rFonts w:hint="eastAsia" w:ascii="Arial" w:hAnsi="Arial" w:cs="Arial"/>
          <w:b/>
          <w:bCs/>
          <w:highlight w:val="none"/>
          <w:lang w:val="en-US" w:eastAsia="zh-CN"/>
        </w:rPr>
        <w:t>Fukuoka City, Fukuoka , Japan, 20th – 24th May, 2024</w:t>
      </w:r>
    </w:p>
    <w:p>
      <w:pPr>
        <w:tabs>
          <w:tab w:val="left" w:pos="1985"/>
        </w:tabs>
        <w:rPr>
          <w:b/>
          <w:sz w:val="22"/>
        </w:rPr>
      </w:pPr>
    </w:p>
    <w:p>
      <w:pPr>
        <w:tabs>
          <w:tab w:val="left" w:pos="1765"/>
          <w:tab w:val="center" w:pos="4557"/>
        </w:tabs>
        <w:rPr>
          <w:rFonts w:hint="default"/>
          <w:b/>
          <w:sz w:val="22"/>
          <w:lang w:val="en-US"/>
        </w:rPr>
      </w:pPr>
      <w:r>
        <w:rPr>
          <w:b/>
          <w:sz w:val="22"/>
        </w:rPr>
        <w:t>Agenda Item:</w:t>
      </w:r>
      <w:r>
        <w:rPr>
          <w:b/>
          <w:sz w:val="22"/>
        </w:rPr>
        <w:tab/>
      </w:r>
      <w:r>
        <w:rPr>
          <w:rFonts w:hint="eastAsia"/>
          <w:sz w:val="22"/>
          <w:lang w:val="en-US" w:eastAsia="zh-CN"/>
        </w:rPr>
        <w:t>5.2.6.3</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val="en-US" w:eastAsia="zh-CN"/>
        </w:rPr>
        <w:t xml:space="preserve">(NR_ATG-Core) </w:t>
      </w:r>
      <w:r>
        <w:rPr>
          <w:rFonts w:hint="eastAsia"/>
          <w:sz w:val="22"/>
        </w:rPr>
        <w:t>Discussion</w:t>
      </w:r>
      <w:r>
        <w:rPr>
          <w:rFonts w:hint="eastAsia"/>
          <w:sz w:val="22"/>
          <w:lang w:val="en-US" w:eastAsia="zh-CN"/>
        </w:rPr>
        <w:t xml:space="preserve"> on the maintenance issues</w:t>
      </w:r>
      <w:r>
        <w:rPr>
          <w:rFonts w:hint="eastAsia"/>
          <w:sz w:val="22"/>
        </w:rPr>
        <w:t xml:space="preserve"> for NR ATG</w:t>
      </w:r>
      <w:r>
        <w:rPr>
          <w:rFonts w:hint="eastAsia"/>
          <w:sz w:val="22"/>
          <w:lang w:val="en-US" w:eastAsia="zh-CN"/>
        </w:rPr>
        <w:t xml:space="preserve"> Core requirement</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jc w:val="both"/>
        <w:rPr>
          <w:rFonts w:hint="default"/>
          <w:sz w:val="20"/>
          <w:szCs w:val="20"/>
          <w:lang w:val="en-US" w:eastAsia="zh-CN"/>
        </w:rPr>
      </w:pPr>
      <w:r>
        <w:rPr>
          <w:rFonts w:hint="eastAsia"/>
          <w:sz w:val="20"/>
          <w:szCs w:val="20"/>
          <w:lang w:val="en-US" w:eastAsia="zh-CN"/>
        </w:rPr>
        <w:t>In last meeting, companies discussed the deriveSSB-IndexFromCell/Inter-r17 related issues, the WF was approved in [1]. In this contribution, we further provide our views on this aspect, and bring our analysis about scheduling restriction requirement revision.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Pr>
          <w:rFonts w:hint="eastAsia" w:ascii="Times New Roman" w:hAnsi="Times New Roman"/>
          <w:b w:val="0"/>
          <w:bCs w:val="0"/>
          <w:kern w:val="0"/>
          <w:sz w:val="36"/>
          <w:szCs w:val="36"/>
          <w:lang w:val="en-US" w:eastAsia="zh-CN"/>
        </w:rPr>
        <w:t>Discussion</w:t>
      </w:r>
    </w:p>
    <w:p>
      <w:pPr>
        <w:keepNext w:val="0"/>
        <w:keepLines w:val="0"/>
        <w:pageBreakBefore w:val="0"/>
        <w:widowControl/>
        <w:kinsoku/>
        <w:wordWrap/>
        <w:overflowPunct/>
        <w:topLinePunct w:val="0"/>
        <w:autoSpaceDE/>
        <w:bidi w:val="0"/>
        <w:adjustRightInd/>
        <w:snapToGrid/>
        <w:spacing w:after="60"/>
        <w:textAlignment w:val="auto"/>
        <w:rPr>
          <w:b/>
          <w:i/>
          <w:iCs/>
          <w:sz w:val="20"/>
          <w:szCs w:val="20"/>
          <w:u w:val="single"/>
          <w:lang w:eastAsia="ko-KR"/>
        </w:rPr>
      </w:pPr>
      <w:r>
        <w:rPr>
          <w:rFonts w:hint="eastAsia"/>
          <w:b/>
          <w:i/>
          <w:iCs/>
          <w:sz w:val="20"/>
          <w:szCs w:val="20"/>
          <w:u w:val="single"/>
          <w:lang w:eastAsia="ko-KR"/>
        </w:rPr>
        <w:t>Issue 1-1: Whether to change the reference point of the tolerance for deriveSSB-IndexFromCell and deriveSSB-IndexFromCellInter-r17</w:t>
      </w:r>
    </w:p>
    <w:p>
      <w:pPr>
        <w:keepNext w:val="0"/>
        <w:keepLines w:val="0"/>
        <w:pageBreakBefore w:val="0"/>
        <w:widowControl/>
        <w:kinsoku/>
        <w:wordWrap/>
        <w:overflowPunct/>
        <w:topLinePunct w:val="0"/>
        <w:autoSpaceDE/>
        <w:bidi w:val="0"/>
        <w:adjustRightInd/>
        <w:snapToGrid/>
        <w:spacing w:after="60"/>
        <w:textAlignment w:val="auto"/>
        <w:rPr>
          <w:rFonts w:hint="eastAsia"/>
          <w:i/>
          <w:iCs/>
          <w:sz w:val="20"/>
          <w:szCs w:val="20"/>
        </w:rPr>
      </w:pPr>
      <w:r>
        <w:rPr>
          <w:rFonts w:hint="eastAsia"/>
          <w:i/>
          <w:iCs/>
          <w:sz w:val="20"/>
          <w:szCs w:val="20"/>
        </w:rPr>
        <w:t>Agreement:</w:t>
      </w:r>
    </w:p>
    <w:p>
      <w:pPr>
        <w:pStyle w:val="74"/>
        <w:numPr>
          <w:ilvl w:val="0"/>
          <w:numId w:val="4"/>
        </w:numPr>
        <w:ind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 xml:space="preserve">Do not change the existing tolerance requirement of deriveSSB-IndexFromCell/Inter-r17. </w:t>
      </w:r>
    </w:p>
    <w:p>
      <w:pPr>
        <w:pStyle w:val="74"/>
        <w:numPr>
          <w:ilvl w:val="0"/>
          <w:numId w:val="4"/>
        </w:numPr>
        <w:ind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FFS whether need to clarify the applicable scenario for deriveSSB-IndexFromCell/Inter-r17</w:t>
      </w:r>
    </w:p>
    <w:p>
      <w:pPr>
        <w:pStyle w:val="74"/>
        <w:numPr>
          <w:ilvl w:val="1"/>
          <w:numId w:val="4"/>
        </w:numPr>
        <w:ind w:left="1656" w:leftChars="0" w:hanging="360"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FFS: E.g., UE does not expect the deriveSSB-IndexFromCell/Inter-r17 to be set as true when RTD from UE between serving and neighbour cell is large than X</w:t>
      </w:r>
    </w:p>
    <w:p>
      <w:pPr>
        <w:pStyle w:val="74"/>
        <w:numPr>
          <w:ilvl w:val="1"/>
          <w:numId w:val="4"/>
        </w:numPr>
        <w:ind w:left="1656" w:leftChars="0" w:hanging="360"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Other wording of applicability rules are not precluded.</w:t>
      </w:r>
    </w:p>
    <w:p>
      <w:pPr>
        <w:spacing w:before="60"/>
        <w:jc w:val="both"/>
        <w:rPr>
          <w:rFonts w:hint="eastAsia" w:eastAsia="等线"/>
          <w:bCs/>
          <w:sz w:val="20"/>
          <w:szCs w:val="20"/>
          <w:lang w:val="en-US" w:eastAsia="zh-CN"/>
        </w:rPr>
      </w:pPr>
      <w:r>
        <w:rPr>
          <w:rFonts w:hint="eastAsia" w:eastAsia="等线"/>
          <w:bCs/>
          <w:sz w:val="20"/>
          <w:szCs w:val="20"/>
          <w:lang w:val="en-US" w:eastAsia="zh-CN"/>
        </w:rPr>
        <w:t>As we analyzed in our past paper [2], when SCS of PDSCH is 15kHz, and ISD is smaller than 21km, the tolerance requirement can be fulfilled with 100% faith. When SCS of PDSCH is 30kHz, the tolerance requirement cannot be fulfilled with the assumption of ISD 14-200km. Based on such observation, we think it can be up to network to decide whether to enable ‘</w:t>
      </w:r>
      <w:r>
        <w:rPr>
          <w:rFonts w:hint="eastAsia" w:eastAsia="等线"/>
          <w:bCs/>
          <w:i/>
          <w:iCs/>
          <w:sz w:val="20"/>
          <w:szCs w:val="20"/>
          <w:lang w:val="en-US" w:eastAsia="zh-CN"/>
        </w:rPr>
        <w:t xml:space="preserve">deriveSSB-IndexFromCell’ </w:t>
      </w:r>
      <w:r>
        <w:rPr>
          <w:rFonts w:hint="eastAsia" w:eastAsia="等线"/>
          <w:bCs/>
          <w:i w:val="0"/>
          <w:iCs w:val="0"/>
          <w:sz w:val="20"/>
          <w:szCs w:val="20"/>
          <w:lang w:val="en-US" w:eastAsia="zh-CN"/>
        </w:rPr>
        <w:t xml:space="preserve">and </w:t>
      </w:r>
      <w:r>
        <w:rPr>
          <w:rFonts w:hint="eastAsia" w:eastAsia="等线"/>
          <w:bCs/>
          <w:i/>
          <w:iCs/>
          <w:sz w:val="20"/>
          <w:szCs w:val="20"/>
          <w:lang w:val="en-US" w:eastAsia="zh-CN"/>
        </w:rPr>
        <w:t>‘deriveSSB-IndexFromCell-inter’</w:t>
      </w:r>
      <w:r>
        <w:rPr>
          <w:rFonts w:hint="eastAsia" w:eastAsia="等线"/>
          <w:bCs/>
          <w:sz w:val="20"/>
          <w:szCs w:val="20"/>
          <w:lang w:val="en-US" w:eastAsia="zh-CN"/>
        </w:rPr>
        <w:t xml:space="preserve"> or not. Typically, the feature will keep disable in the real R18 ATG network.</w:t>
      </w:r>
    </w:p>
    <w:p>
      <w:pPr>
        <w:spacing w:before="60"/>
        <w:jc w:val="both"/>
        <w:rPr>
          <w:rFonts w:hint="eastAsia" w:eastAsia="宋体" w:cs="Times New Roman"/>
          <w:i/>
          <w:iCs/>
          <w:color w:val="auto"/>
          <w:sz w:val="20"/>
          <w:szCs w:val="20"/>
          <w:lang w:val="en-US" w:eastAsia="zh-CN"/>
        </w:rPr>
      </w:pPr>
      <w:r>
        <w:rPr>
          <w:rFonts w:hint="eastAsia" w:eastAsia="等线"/>
          <w:bCs/>
          <w:sz w:val="20"/>
          <w:szCs w:val="20"/>
          <w:lang w:val="en-US" w:eastAsia="zh-CN"/>
        </w:rPr>
        <w:t>From UE vendor</w:t>
      </w:r>
      <w:r>
        <w:rPr>
          <w:rFonts w:hint="default" w:eastAsia="等线"/>
          <w:bCs/>
          <w:sz w:val="20"/>
          <w:szCs w:val="20"/>
          <w:lang w:val="en-US" w:eastAsia="zh-CN"/>
        </w:rPr>
        <w:t>’</w:t>
      </w:r>
      <w:r>
        <w:rPr>
          <w:rFonts w:hint="eastAsia" w:eastAsia="等线"/>
          <w:bCs/>
          <w:sz w:val="20"/>
          <w:szCs w:val="20"/>
          <w:lang w:val="en-US" w:eastAsia="zh-CN"/>
        </w:rPr>
        <w:t>s perspective, they worry about network may c</w:t>
      </w:r>
      <w:r>
        <w:rPr>
          <w:rFonts w:hint="eastAsia" w:eastAsia="宋体" w:cs="Times New Roman"/>
          <w:i w:val="0"/>
          <w:iCs w:val="0"/>
          <w:color w:val="auto"/>
          <w:sz w:val="20"/>
          <w:szCs w:val="20"/>
          <w:lang w:val="en-US" w:eastAsia="zh-CN"/>
        </w:rPr>
        <w:t xml:space="preserve">onfigure the </w:t>
      </w:r>
      <w:r>
        <w:rPr>
          <w:rFonts w:hint="eastAsia" w:eastAsia="宋体" w:cs="Times New Roman"/>
          <w:i/>
          <w:iCs/>
          <w:color w:val="auto"/>
          <w:sz w:val="20"/>
          <w:szCs w:val="20"/>
          <w:lang w:val="en-US" w:eastAsia="zh-CN"/>
        </w:rPr>
        <w:t xml:space="preserve">deriveSSB-IndexFromCell/Inter-r17 </w:t>
      </w:r>
      <w:r>
        <w:rPr>
          <w:rFonts w:hint="eastAsia" w:eastAsia="宋体" w:cs="Times New Roman"/>
          <w:i w:val="0"/>
          <w:iCs w:val="0"/>
          <w:color w:val="auto"/>
          <w:sz w:val="20"/>
          <w:szCs w:val="20"/>
          <w:lang w:val="en-US" w:eastAsia="zh-CN"/>
        </w:rPr>
        <w:t xml:space="preserve">wrongly </w:t>
      </w:r>
      <w:r>
        <w:rPr>
          <w:rFonts w:hint="eastAsia" w:eastAsia="等线"/>
          <w:bCs/>
          <w:i w:val="0"/>
          <w:iCs w:val="0"/>
          <w:sz w:val="20"/>
          <w:szCs w:val="20"/>
          <w:lang w:val="en-US" w:eastAsia="zh-CN"/>
        </w:rPr>
        <w:t>when the tol</w:t>
      </w:r>
      <w:r>
        <w:rPr>
          <w:rFonts w:hint="eastAsia" w:eastAsia="等线"/>
          <w:bCs/>
          <w:sz w:val="20"/>
          <w:szCs w:val="20"/>
          <w:lang w:val="en-US" w:eastAsia="zh-CN"/>
        </w:rPr>
        <w:t>erance requirement can not be fulfilled. Therefore, they think the double check from UE side is needed. However, from infra vendor</w:t>
      </w:r>
      <w:r>
        <w:rPr>
          <w:rFonts w:hint="default" w:eastAsia="等线"/>
          <w:bCs/>
          <w:sz w:val="20"/>
          <w:szCs w:val="20"/>
          <w:lang w:val="en-US" w:eastAsia="zh-CN"/>
        </w:rPr>
        <w:t>’</w:t>
      </w:r>
      <w:r>
        <w:rPr>
          <w:rFonts w:hint="eastAsia" w:eastAsia="等线"/>
          <w:bCs/>
          <w:sz w:val="20"/>
          <w:szCs w:val="20"/>
          <w:lang w:val="en-US" w:eastAsia="zh-CN"/>
        </w:rPr>
        <w:t>s perspective, they also worry about whether UE could perform this double check correctly, since it can not be verified in the test case. Besides, there may be unaligned interpretation between network and UE if UE behaves follow the RTD calculation from itself, other than network signaling.</w:t>
      </w:r>
    </w:p>
    <w:p>
      <w:pPr>
        <w:spacing w:before="60"/>
        <w:jc w:val="both"/>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 xml:space="preserve">Considering that if </w:t>
      </w:r>
      <w:r>
        <w:rPr>
          <w:rFonts w:hint="eastAsia" w:eastAsia="等线"/>
          <w:bCs/>
          <w:i w:val="0"/>
          <w:iCs w:val="0"/>
          <w:sz w:val="20"/>
          <w:szCs w:val="20"/>
          <w:lang w:val="en-US" w:eastAsia="zh-CN"/>
        </w:rPr>
        <w:t>net</w:t>
      </w:r>
      <w:r>
        <w:rPr>
          <w:rFonts w:hint="eastAsia" w:eastAsia="等线"/>
          <w:bCs/>
          <w:sz w:val="20"/>
          <w:szCs w:val="20"/>
          <w:lang w:val="en-US" w:eastAsia="zh-CN"/>
        </w:rPr>
        <w:t>work c</w:t>
      </w:r>
      <w:r>
        <w:rPr>
          <w:rFonts w:hint="eastAsia" w:eastAsia="宋体" w:cs="Times New Roman"/>
          <w:i w:val="0"/>
          <w:iCs w:val="0"/>
          <w:color w:val="auto"/>
          <w:sz w:val="20"/>
          <w:szCs w:val="20"/>
          <w:lang w:val="en-US" w:eastAsia="zh-CN"/>
        </w:rPr>
        <w:t xml:space="preserve">onfigure the </w:t>
      </w:r>
      <w:r>
        <w:rPr>
          <w:rFonts w:hint="eastAsia" w:eastAsia="宋体" w:cs="Times New Roman"/>
          <w:i/>
          <w:iCs/>
          <w:color w:val="auto"/>
          <w:sz w:val="20"/>
          <w:szCs w:val="20"/>
          <w:lang w:val="en-US" w:eastAsia="zh-CN"/>
        </w:rPr>
        <w:t xml:space="preserve">deriveSSB-IndexFromCell/Inter-r17 </w:t>
      </w:r>
      <w:r>
        <w:rPr>
          <w:rFonts w:hint="eastAsia" w:eastAsia="宋体" w:cs="Times New Roman"/>
          <w:i w:val="0"/>
          <w:iCs w:val="0"/>
          <w:color w:val="auto"/>
          <w:sz w:val="20"/>
          <w:szCs w:val="20"/>
          <w:lang w:val="en-US" w:eastAsia="zh-CN"/>
        </w:rPr>
        <w:t xml:space="preserve">wrongly </w:t>
      </w:r>
      <w:r>
        <w:rPr>
          <w:rFonts w:hint="eastAsia" w:eastAsia="等线"/>
          <w:bCs/>
          <w:i w:val="0"/>
          <w:iCs w:val="0"/>
          <w:sz w:val="20"/>
          <w:szCs w:val="20"/>
          <w:lang w:val="en-US" w:eastAsia="zh-CN"/>
        </w:rPr>
        <w:t>when the tol</w:t>
      </w:r>
      <w:r>
        <w:rPr>
          <w:rFonts w:hint="eastAsia" w:eastAsia="等线"/>
          <w:bCs/>
          <w:sz w:val="20"/>
          <w:szCs w:val="20"/>
          <w:lang w:val="en-US" w:eastAsia="zh-CN"/>
        </w:rPr>
        <w:t>erance requirement can not be fulfilled, the network performance will be degraded for sure. we believe the infra vendor and operator will both treat this feature seriously. It is network</w:t>
      </w:r>
      <w:r>
        <w:rPr>
          <w:rFonts w:hint="default" w:eastAsia="等线"/>
          <w:bCs/>
          <w:sz w:val="20"/>
          <w:szCs w:val="20"/>
          <w:lang w:val="en-US" w:eastAsia="zh-CN"/>
        </w:rPr>
        <w:t>’</w:t>
      </w:r>
      <w:r>
        <w:rPr>
          <w:rFonts w:hint="eastAsia" w:eastAsia="等线"/>
          <w:bCs/>
          <w:sz w:val="20"/>
          <w:szCs w:val="20"/>
          <w:lang w:val="en-US" w:eastAsia="zh-CN"/>
        </w:rPr>
        <w:t xml:space="preserve">s responsibility to guarantee the tolerance requirement can be fulfilled when it enable the </w:t>
      </w:r>
      <w:r>
        <w:rPr>
          <w:rFonts w:hint="eastAsia" w:eastAsia="宋体" w:cs="Times New Roman"/>
          <w:i/>
          <w:iCs/>
          <w:color w:val="auto"/>
          <w:sz w:val="20"/>
          <w:szCs w:val="20"/>
          <w:lang w:val="en-US" w:eastAsia="zh-CN"/>
        </w:rPr>
        <w:t xml:space="preserve">deriveSSB-IndexFromCell/Inter-r17 </w:t>
      </w:r>
      <w:r>
        <w:rPr>
          <w:rFonts w:hint="eastAsia" w:eastAsia="宋体" w:cs="Times New Roman"/>
          <w:i w:val="0"/>
          <w:iCs w:val="0"/>
          <w:color w:val="auto"/>
          <w:sz w:val="20"/>
          <w:szCs w:val="20"/>
          <w:lang w:val="en-US" w:eastAsia="zh-CN"/>
        </w:rPr>
        <w:t xml:space="preserve">signaling. UE could trust the network configuration just like in legacy terrestrial network. For example, in FDD terrestrial network, if network configure the </w:t>
      </w:r>
      <w:r>
        <w:rPr>
          <w:rFonts w:hint="eastAsia" w:eastAsia="宋体" w:cs="Times New Roman"/>
          <w:i/>
          <w:iCs/>
          <w:color w:val="auto"/>
          <w:sz w:val="20"/>
          <w:szCs w:val="20"/>
          <w:lang w:val="en-US" w:eastAsia="zh-CN"/>
        </w:rPr>
        <w:t xml:space="preserve">deriveSSB-IndexFromCell/Inter-r17, </w:t>
      </w:r>
      <w:r>
        <w:rPr>
          <w:rFonts w:hint="eastAsia" w:eastAsia="宋体" w:cs="Times New Roman"/>
          <w:i w:val="0"/>
          <w:iCs w:val="0"/>
          <w:color w:val="auto"/>
          <w:sz w:val="20"/>
          <w:szCs w:val="20"/>
          <w:lang w:val="en-US" w:eastAsia="zh-CN"/>
        </w:rPr>
        <w:t xml:space="preserve">UE will not further check whether the RTD between serving and neighbour cell is smaller than the tolerance requirement or not. </w:t>
      </w:r>
    </w:p>
    <w:p>
      <w:pPr>
        <w:spacing w:before="60"/>
        <w:jc w:val="both"/>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 No need to further clarify the applicable scenario for deriveSSB-IndexFromCell/Inter-r17.</w:t>
      </w:r>
    </w:p>
    <w:p>
      <w:pPr>
        <w:spacing w:before="60"/>
        <w:jc w:val="both"/>
        <w:rPr>
          <w:rFonts w:hint="default" w:eastAsia="等线"/>
          <w:bCs/>
          <w:sz w:val="20"/>
          <w:szCs w:val="20"/>
          <w:lang w:val="en-US" w:eastAsia="zh-CN"/>
        </w:rPr>
      </w:pPr>
    </w:p>
    <w:p>
      <w:pPr>
        <w:keepNext w:val="0"/>
        <w:keepLines w:val="0"/>
        <w:pageBreakBefore w:val="0"/>
        <w:widowControl/>
        <w:kinsoku/>
        <w:wordWrap/>
        <w:overflowPunct/>
        <w:topLinePunct w:val="0"/>
        <w:autoSpaceDE/>
        <w:bidi w:val="0"/>
        <w:adjustRightInd/>
        <w:snapToGrid/>
        <w:spacing w:after="60"/>
        <w:textAlignment w:val="auto"/>
        <w:rPr>
          <w:rFonts w:hint="eastAsia"/>
          <w:b/>
          <w:i/>
          <w:iCs/>
          <w:sz w:val="20"/>
          <w:szCs w:val="20"/>
          <w:u w:val="single"/>
          <w:lang w:val="en-US" w:eastAsia="zh-CN"/>
        </w:rPr>
      </w:pPr>
      <w:r>
        <w:rPr>
          <w:rFonts w:hint="eastAsia"/>
          <w:b/>
          <w:i/>
          <w:iCs/>
          <w:sz w:val="20"/>
          <w:szCs w:val="20"/>
          <w:u w:val="single"/>
          <w:lang w:val="en-US" w:eastAsia="zh-CN"/>
        </w:rPr>
        <w:t>Scheduling availability requirements</w:t>
      </w:r>
    </w:p>
    <w:p>
      <w:pPr>
        <w:spacing w:before="60"/>
        <w:jc w:val="both"/>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We defined the scheduling availability requirements for ATG considering two different aspects compared with legacy TN network and UE:</w:t>
      </w:r>
    </w:p>
    <w:p>
      <w:pPr>
        <w:numPr>
          <w:ilvl w:val="0"/>
          <w:numId w:val="5"/>
        </w:numPr>
        <w:spacing w:before="60"/>
        <w:ind w:left="425" w:leftChars="0" w:hanging="425" w:firstLineChars="0"/>
        <w:jc w:val="both"/>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deriveSSB-IndexFromCell/Inter-r17 is not always enabled for ATG TDD network</w:t>
      </w:r>
    </w:p>
    <w:p>
      <w:pPr>
        <w:numPr>
          <w:ilvl w:val="0"/>
          <w:numId w:val="5"/>
        </w:numPr>
        <w:spacing w:before="60"/>
        <w:ind w:left="425" w:leftChars="0" w:hanging="425" w:firstLineChars="0"/>
        <w:jc w:val="both"/>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 xml:space="preserve">ATG UE with antenna array will perform beam sweeping. </w:t>
      </w:r>
    </w:p>
    <w:p>
      <w:pPr>
        <w:spacing w:before="60"/>
        <w:jc w:val="both"/>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However, some further refinement need to be done based on above two assumptions.</w:t>
      </w:r>
    </w:p>
    <w:p>
      <w:pPr>
        <w:spacing w:before="60"/>
        <w:jc w:val="both"/>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For the first bullet, on one hand, in the current spec, for inter-frequency SSB based measurements without measurement gaps in active BWP, it is assumed that when UE performs inter-frequency measurements without measurement gaps in a TDD bands on FR1, SFN and frame boundary across serving cell and inter-frequency neighbor cells is aligned, which reusing the legacy NR requirement. However, this assumption should not be valid anymore in ATG scenario. We propose to remove this assumption in ATG inter-frequency SSB based measurements without measurement gaps requirement.</w:t>
      </w:r>
    </w:p>
    <w:p>
      <w:pPr>
        <w:spacing w:before="60"/>
        <w:jc w:val="both"/>
        <w:rPr>
          <w:rFonts w:hint="default" w:eastAsia="宋体" w:cs="Times New Roman"/>
          <w:i w:val="0"/>
          <w:iCs w:val="0"/>
          <w:color w:val="auto"/>
          <w:sz w:val="20"/>
          <w:szCs w:val="20"/>
          <w:lang w:val="en-US" w:eastAsia="zh-CN"/>
        </w:rPr>
      </w:pPr>
      <w:r>
        <w:rPr>
          <w:rFonts w:hint="eastAsia" w:eastAsia="宋体" w:cs="Times New Roman"/>
          <w:b/>
          <w:bCs/>
          <w:i/>
          <w:iCs/>
          <w:color w:val="auto"/>
          <w:sz w:val="20"/>
          <w:szCs w:val="20"/>
          <w:lang w:val="en-US" w:eastAsia="zh-CN"/>
        </w:rPr>
        <w:t>Proposal 2: For ATG inter-frequency SSB based measurements without measurement gaps requirement, remove the assumption that when UE performs inter-frequency measurements without measurement gaps in a TDD bands on FR1, SFN and frame boundary across serving cell and inter-frequency neighbor cells is aligned.</w:t>
      </w:r>
    </w:p>
    <w:p>
      <w:pPr>
        <w:spacing w:before="60"/>
        <w:jc w:val="both"/>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For the first bullet, on the other hand, for both two kinds of ATG UE and TDD network, if deriveSSB-IndexFromCell/Inter-r17 is enabled, then the transmission scheduling restriction will be applied for the SSB symbols to be measured, and on 1 data symbol before and after. If deriveSSB-IndexFromCell/Inter-r17 is not enabled, then the scheduling restriction will be applied for the whole STMC.</w:t>
      </w:r>
    </w:p>
    <w:p>
      <w:pPr>
        <w:spacing w:before="60"/>
        <w:jc w:val="both"/>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3: The transmission scheduling restriction impact from deriveSSB-IndexFromCell/Inter-r17 should be applied to both ATG UE with antenna array and ATG UE with one or multiple omni-directional antennas in TDD network.</w:t>
      </w:r>
    </w:p>
    <w:p>
      <w:pPr>
        <w:spacing w:before="60"/>
        <w:jc w:val="both"/>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For the second bullet, for ATG UE with antenna array in both FR1 FDD and TDD band, when UE measure the neighbour cell during the scheduling restriction period, UE could not perform the reception of data and RS due to different beam direction.</w:t>
      </w:r>
    </w:p>
    <w:p>
      <w:pPr>
        <w:spacing w:before="60"/>
        <w:jc w:val="both"/>
        <w:rPr>
          <w:rFonts w:hint="eastAsia" w:eastAsia="宋体" w:cs="Times New Roman"/>
          <w:b/>
          <w:bCs/>
          <w:i w:val="0"/>
          <w:iCs w:val="0"/>
          <w:color w:val="auto"/>
          <w:sz w:val="20"/>
          <w:szCs w:val="20"/>
          <w:lang w:val="en-US" w:eastAsia="zh-CN"/>
        </w:rPr>
      </w:pPr>
      <w:r>
        <w:rPr>
          <w:rFonts w:hint="eastAsia" w:eastAsia="宋体" w:cs="Times New Roman"/>
          <w:b/>
          <w:bCs/>
          <w:i/>
          <w:iCs/>
          <w:color w:val="auto"/>
          <w:sz w:val="20"/>
          <w:szCs w:val="20"/>
          <w:lang w:val="en-US" w:eastAsia="zh-CN"/>
        </w:rPr>
        <w:t>Proposal 4: For ATG UE with antenna array in both FR1 FDD and TDD band, UE could not perform the reception of data and RS during the scheduling restriction period.</w:t>
      </w:r>
    </w:p>
    <w:p>
      <w:pPr>
        <w:spacing w:before="60"/>
        <w:jc w:val="both"/>
        <w:rPr>
          <w:rFonts w:hint="default"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We bring a companion CR to reflect aforementioned revisio</w:t>
      </w:r>
      <w:bookmarkStart w:id="8" w:name="_GoBack"/>
      <w:bookmarkEnd w:id="8"/>
      <w:r>
        <w:rPr>
          <w:rFonts w:hint="eastAsia" w:eastAsia="宋体" w:cs="Times New Roman"/>
          <w:i w:val="0"/>
          <w:iCs w:val="0"/>
          <w:color w:val="auto"/>
          <w:sz w:val="20"/>
          <w:szCs w:val="20"/>
          <w:lang w:val="en-US" w:eastAsia="zh-CN"/>
        </w:rPr>
        <w:t>ns, including proposal 2 to proposal 4. [3]</w:t>
      </w:r>
    </w:p>
    <w:bookmarkEnd w:id="5"/>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jc w:val="both"/>
        <w:rPr>
          <w:sz w:val="20"/>
          <w:szCs w:val="20"/>
        </w:rPr>
      </w:pPr>
      <w:r>
        <w:rPr>
          <w:sz w:val="20"/>
          <w:szCs w:val="20"/>
        </w:rPr>
        <w:t>Based on the discussion above, the following</w:t>
      </w:r>
      <w:r>
        <w:rPr>
          <w:rFonts w:hint="eastAsia"/>
          <w:sz w:val="20"/>
          <w:szCs w:val="20"/>
        </w:rPr>
        <w:t xml:space="preserve"> </w:t>
      </w:r>
      <w:r>
        <w:rPr>
          <w:sz w:val="20"/>
          <w:szCs w:val="20"/>
        </w:rPr>
        <w:t xml:space="preserve">proposals are concluded. </w:t>
      </w:r>
      <w:bookmarkEnd w:id="6"/>
      <w:bookmarkEnd w:id="7"/>
    </w:p>
    <w:p>
      <w:pPr>
        <w:spacing w:before="60"/>
        <w:jc w:val="both"/>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 No need to further clarify the applicable scenario for deriveSSB-IndexFromCell/Inter-r17.</w:t>
      </w:r>
    </w:p>
    <w:p>
      <w:pPr>
        <w:spacing w:before="60"/>
        <w:jc w:val="both"/>
        <w:rPr>
          <w:rFonts w:hint="default" w:eastAsia="宋体" w:cs="Times New Roman"/>
          <w:i w:val="0"/>
          <w:iCs w:val="0"/>
          <w:color w:val="auto"/>
          <w:sz w:val="20"/>
          <w:szCs w:val="20"/>
          <w:lang w:val="en-US" w:eastAsia="zh-CN"/>
        </w:rPr>
      </w:pPr>
      <w:r>
        <w:rPr>
          <w:rFonts w:hint="eastAsia" w:eastAsia="宋体" w:cs="Times New Roman"/>
          <w:b/>
          <w:bCs/>
          <w:i/>
          <w:iCs/>
          <w:color w:val="auto"/>
          <w:sz w:val="20"/>
          <w:szCs w:val="20"/>
          <w:lang w:val="en-US" w:eastAsia="zh-CN"/>
        </w:rPr>
        <w:t>Proposal 2: For ATG inter-frequency SSB based measurements without measurement gaps requirement, remove the assumption that when UE performs inter-frequency measurements without measurement gaps in a TDD bands on FR1, SFN and frame boundary across serving cell and inter-frequency neighbor cells is aligned.</w:t>
      </w:r>
    </w:p>
    <w:p>
      <w:pPr>
        <w:spacing w:before="60"/>
        <w:jc w:val="both"/>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3: The transmission scheduling restriction impact from deriveSSB-IndexFromCell/Inter-r17 should be applied to both ATG UE with antenna array and ATG UE with one or multiple omni-directional antennas in TDD network.</w:t>
      </w:r>
    </w:p>
    <w:p>
      <w:pPr>
        <w:spacing w:before="60"/>
        <w:jc w:val="both"/>
        <w:rPr>
          <w:rFonts w:hint="eastAsia" w:eastAsia="宋体" w:cs="Times New Roman"/>
          <w:b/>
          <w:bCs/>
          <w:i w:val="0"/>
          <w:iCs w:val="0"/>
          <w:color w:val="auto"/>
          <w:sz w:val="20"/>
          <w:szCs w:val="20"/>
          <w:lang w:val="en-US" w:eastAsia="zh-CN"/>
        </w:rPr>
      </w:pPr>
      <w:r>
        <w:rPr>
          <w:rFonts w:hint="eastAsia" w:eastAsia="宋体" w:cs="Times New Roman"/>
          <w:b/>
          <w:bCs/>
          <w:i/>
          <w:iCs/>
          <w:color w:val="auto"/>
          <w:sz w:val="20"/>
          <w:szCs w:val="20"/>
          <w:lang w:val="en-US" w:eastAsia="zh-CN"/>
        </w:rPr>
        <w:t>Proposal 4: For ATG UE with antenna array in both FR1 FDD and TDD band, UE could not perform the reception of data and RS during the scheduling restriction period.</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6"/>
        </w:numPr>
        <w:rPr>
          <w:rFonts w:hint="eastAsia"/>
          <w:sz w:val="20"/>
          <w:szCs w:val="20"/>
        </w:rPr>
      </w:pPr>
      <w:r>
        <w:rPr>
          <w:rFonts w:hint="eastAsia"/>
          <w:sz w:val="20"/>
          <w:szCs w:val="20"/>
        </w:rPr>
        <w:t>R4-2</w:t>
      </w:r>
      <w:r>
        <w:rPr>
          <w:rFonts w:hint="eastAsia"/>
          <w:sz w:val="20"/>
          <w:szCs w:val="20"/>
          <w:lang w:val="en-US" w:eastAsia="zh-CN"/>
        </w:rPr>
        <w:t>406428</w:t>
      </w:r>
      <w:r>
        <w:rPr>
          <w:rFonts w:hint="eastAsia"/>
          <w:sz w:val="20"/>
          <w:szCs w:val="20"/>
        </w:rPr>
        <w:t>, WF on RRM requirements for NR ATG, CMCC</w:t>
      </w:r>
    </w:p>
    <w:p>
      <w:pPr>
        <w:numPr>
          <w:ilvl w:val="0"/>
          <w:numId w:val="6"/>
        </w:numPr>
        <w:rPr>
          <w:rFonts w:hint="eastAsia"/>
          <w:sz w:val="20"/>
          <w:szCs w:val="20"/>
        </w:rPr>
      </w:pPr>
      <w:r>
        <w:rPr>
          <w:rFonts w:hint="eastAsia"/>
          <w:sz w:val="20"/>
          <w:szCs w:val="20"/>
          <w:lang w:val="en-US" w:eastAsia="zh-CN"/>
        </w:rPr>
        <w:t>R4-2300781, Discussion on RRM timing requirements for ATG, CMCC</w:t>
      </w:r>
    </w:p>
    <w:p>
      <w:pPr>
        <w:numPr>
          <w:ilvl w:val="0"/>
          <w:numId w:val="6"/>
        </w:numPr>
        <w:rPr>
          <w:rFonts w:hint="eastAsia"/>
          <w:sz w:val="20"/>
          <w:szCs w:val="20"/>
        </w:rPr>
      </w:pPr>
      <w:r>
        <w:rPr>
          <w:rFonts w:hint="eastAsia"/>
          <w:sz w:val="20"/>
          <w:szCs w:val="20"/>
          <w:lang w:val="en-US" w:eastAsia="zh-CN"/>
        </w:rPr>
        <w:t>R4-2407928, (NR_ATG-Core) draftCR to TS 38.133 correction of scheduling availability requirements for ATG, CMCC</w:t>
      </w:r>
    </w:p>
    <w:sectPr>
      <w:pgSz w:w="11906" w:h="16838"/>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860163"/>
    <w:multiLevelType w:val="singleLevel"/>
    <w:tmpl w:val="BF860163"/>
    <w:lvl w:ilvl="0" w:tentative="0">
      <w:start w:val="1"/>
      <w:numFmt w:val="decimal"/>
      <w:lvlText w:val="%1."/>
      <w:lvlJc w:val="left"/>
      <w:pPr>
        <w:ind w:left="425" w:hanging="425"/>
      </w:pPr>
      <w:rPr>
        <w:rFonts w:hint="default"/>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71BBCF5"/>
    <w:multiLevelType w:val="singleLevel"/>
    <w:tmpl w:val="471BBCF5"/>
    <w:lvl w:ilvl="0" w:tentative="0">
      <w:start w:val="1"/>
      <w:numFmt w:val="decimal"/>
      <w:suff w:val="space"/>
      <w:lvlText w:val="[%1]"/>
      <w:lvlJc w:val="left"/>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6C88"/>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2E82"/>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3ABF"/>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3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3B1794"/>
    <w:rsid w:val="04DF0B86"/>
    <w:rsid w:val="064908B3"/>
    <w:rsid w:val="067175B5"/>
    <w:rsid w:val="075E584C"/>
    <w:rsid w:val="07D26E03"/>
    <w:rsid w:val="0A1C56DC"/>
    <w:rsid w:val="0A98274C"/>
    <w:rsid w:val="0B285455"/>
    <w:rsid w:val="0F490FA2"/>
    <w:rsid w:val="10CD115F"/>
    <w:rsid w:val="122E40F7"/>
    <w:rsid w:val="12CC1CC6"/>
    <w:rsid w:val="139F5002"/>
    <w:rsid w:val="13F366BE"/>
    <w:rsid w:val="147A227D"/>
    <w:rsid w:val="14AF0C37"/>
    <w:rsid w:val="15633444"/>
    <w:rsid w:val="16FC5C69"/>
    <w:rsid w:val="19967BF0"/>
    <w:rsid w:val="19CE5937"/>
    <w:rsid w:val="1A054BBC"/>
    <w:rsid w:val="1A974518"/>
    <w:rsid w:val="1A9843A1"/>
    <w:rsid w:val="1A9A08B1"/>
    <w:rsid w:val="1A9D6662"/>
    <w:rsid w:val="1AB40B3E"/>
    <w:rsid w:val="1B6B12F4"/>
    <w:rsid w:val="1BC67426"/>
    <w:rsid w:val="1CF1514F"/>
    <w:rsid w:val="1D6F7320"/>
    <w:rsid w:val="1DB22149"/>
    <w:rsid w:val="21C1128B"/>
    <w:rsid w:val="24CB5904"/>
    <w:rsid w:val="25171174"/>
    <w:rsid w:val="25871FAC"/>
    <w:rsid w:val="27042AED"/>
    <w:rsid w:val="27BD27E3"/>
    <w:rsid w:val="280D256C"/>
    <w:rsid w:val="28233E45"/>
    <w:rsid w:val="2918438E"/>
    <w:rsid w:val="293C3677"/>
    <w:rsid w:val="2A745211"/>
    <w:rsid w:val="2B260516"/>
    <w:rsid w:val="2B712B46"/>
    <w:rsid w:val="2D7D5B52"/>
    <w:rsid w:val="2DC86E21"/>
    <w:rsid w:val="2FAB2470"/>
    <w:rsid w:val="314D0FF3"/>
    <w:rsid w:val="327542BD"/>
    <w:rsid w:val="327B6A94"/>
    <w:rsid w:val="32BA7818"/>
    <w:rsid w:val="335537CA"/>
    <w:rsid w:val="338C7285"/>
    <w:rsid w:val="342405CD"/>
    <w:rsid w:val="35ED4EAF"/>
    <w:rsid w:val="37147AAD"/>
    <w:rsid w:val="3756054C"/>
    <w:rsid w:val="37A7076C"/>
    <w:rsid w:val="383F2594"/>
    <w:rsid w:val="3B3D1B89"/>
    <w:rsid w:val="3CBB527F"/>
    <w:rsid w:val="3CFE6CB8"/>
    <w:rsid w:val="3D5C7BBB"/>
    <w:rsid w:val="42313EE1"/>
    <w:rsid w:val="43503A32"/>
    <w:rsid w:val="439240E9"/>
    <w:rsid w:val="43E500D1"/>
    <w:rsid w:val="43E53DDE"/>
    <w:rsid w:val="44043920"/>
    <w:rsid w:val="445F0D89"/>
    <w:rsid w:val="455F4B48"/>
    <w:rsid w:val="47A641CF"/>
    <w:rsid w:val="484808A4"/>
    <w:rsid w:val="48F646F4"/>
    <w:rsid w:val="49886BD5"/>
    <w:rsid w:val="4B7F6463"/>
    <w:rsid w:val="4C1B3FFE"/>
    <w:rsid w:val="4C2C0012"/>
    <w:rsid w:val="4CA7138C"/>
    <w:rsid w:val="4CE91ACF"/>
    <w:rsid w:val="4E743C4F"/>
    <w:rsid w:val="4EAC1E23"/>
    <w:rsid w:val="4F9E1D68"/>
    <w:rsid w:val="50C07050"/>
    <w:rsid w:val="50FA652F"/>
    <w:rsid w:val="5200412A"/>
    <w:rsid w:val="53EA46B1"/>
    <w:rsid w:val="549E03B9"/>
    <w:rsid w:val="54DA4DB5"/>
    <w:rsid w:val="54EA11CC"/>
    <w:rsid w:val="54F97888"/>
    <w:rsid w:val="56825957"/>
    <w:rsid w:val="568F6B9D"/>
    <w:rsid w:val="585C582B"/>
    <w:rsid w:val="5991769D"/>
    <w:rsid w:val="5A53333F"/>
    <w:rsid w:val="5ACC6290"/>
    <w:rsid w:val="5AE42B98"/>
    <w:rsid w:val="5BED0E26"/>
    <w:rsid w:val="5C3B5B36"/>
    <w:rsid w:val="5C7100A9"/>
    <w:rsid w:val="5C940C37"/>
    <w:rsid w:val="5E955CAE"/>
    <w:rsid w:val="5F6D60BB"/>
    <w:rsid w:val="61294965"/>
    <w:rsid w:val="62AD511A"/>
    <w:rsid w:val="640F1468"/>
    <w:rsid w:val="642D103F"/>
    <w:rsid w:val="644C4D53"/>
    <w:rsid w:val="64EB7873"/>
    <w:rsid w:val="65AC69E5"/>
    <w:rsid w:val="65AE50E3"/>
    <w:rsid w:val="662D4818"/>
    <w:rsid w:val="668A66E7"/>
    <w:rsid w:val="670A6572"/>
    <w:rsid w:val="68394942"/>
    <w:rsid w:val="68DB7A9A"/>
    <w:rsid w:val="68E056B2"/>
    <w:rsid w:val="699D0874"/>
    <w:rsid w:val="69F7752A"/>
    <w:rsid w:val="69FC7CF7"/>
    <w:rsid w:val="6AEB7D27"/>
    <w:rsid w:val="6B131038"/>
    <w:rsid w:val="6B3D5AF2"/>
    <w:rsid w:val="6C017A25"/>
    <w:rsid w:val="6C840B7B"/>
    <w:rsid w:val="6C8C6FBE"/>
    <w:rsid w:val="6D017DB9"/>
    <w:rsid w:val="6EFC7766"/>
    <w:rsid w:val="6F6F6C60"/>
    <w:rsid w:val="710A018C"/>
    <w:rsid w:val="71494573"/>
    <w:rsid w:val="719826B5"/>
    <w:rsid w:val="72A7775E"/>
    <w:rsid w:val="7322392E"/>
    <w:rsid w:val="73376795"/>
    <w:rsid w:val="734316AE"/>
    <w:rsid w:val="74611512"/>
    <w:rsid w:val="76D318BB"/>
    <w:rsid w:val="77231C5D"/>
    <w:rsid w:val="77883A7F"/>
    <w:rsid w:val="79B27E35"/>
    <w:rsid w:val="7A5175D2"/>
    <w:rsid w:val="7B862537"/>
    <w:rsid w:val="7BE47829"/>
    <w:rsid w:val="7D445B9B"/>
    <w:rsid w:val="7DCB0C53"/>
    <w:rsid w:val="7E531A41"/>
    <w:rsid w:val="7E735659"/>
    <w:rsid w:val="7F4D4770"/>
    <w:rsid w:val="7F5F2633"/>
    <w:rsid w:val="7FF138F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Cambria Math" w:hAnsi="Cambria Math" w:eastAsia="Cambria Math"/>
      <w:sz w:val="18"/>
      <w:szCs w:val="18"/>
    </w:rPr>
  </w:style>
  <w:style w:type="paragraph" w:styleId="14">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9"/>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28"/>
    <w:link w:val="29"/>
    <w:qFormat/>
    <w:uiPriority w:val="0"/>
    <w:pPr>
      <w:overflowPunct w:val="0"/>
      <w:autoSpaceDE w:val="0"/>
      <w:autoSpaceDN w:val="0"/>
      <w:adjustRightInd w:val="0"/>
      <w:jc w:val="center"/>
      <w:textAlignment w:val="baseline"/>
    </w:pPr>
    <w:rPr>
      <w:szCs w:val="18"/>
    </w:rPr>
  </w:style>
  <w:style w:type="paragraph" w:customStyle="1" w:styleId="28">
    <w:name w:val="TAL"/>
    <w:basedOn w:val="1"/>
    <w:link w:val="57"/>
    <w:qFormat/>
    <w:uiPriority w:val="0"/>
    <w:pPr>
      <w:keepNext/>
      <w:keepLines/>
    </w:pPr>
    <w:rPr>
      <w:rFonts w:ascii="Courier New" w:hAnsi="Courier New"/>
      <w:sz w:val="18"/>
      <w:szCs w:val="20"/>
      <w:lang w:val="en-GB" w:eastAsia="en-US"/>
    </w:rPr>
  </w:style>
  <w:style w:type="character" w:customStyle="1" w:styleId="29">
    <w:name w:val="TAC Char"/>
    <w:link w:val="27"/>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7"/>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3"/>
    <w:semiHidden/>
    <w:qFormat/>
    <w:uiPriority w:val="99"/>
    <w:rPr>
      <w:rFonts w:ascii="Cambria Math" w:eastAsia="Cambria Math"/>
      <w:sz w:val="18"/>
      <w:szCs w:val="18"/>
    </w:rPr>
  </w:style>
  <w:style w:type="character" w:customStyle="1" w:styleId="47">
    <w:name w:val="页脚 字符"/>
    <w:link w:val="14"/>
    <w:qFormat/>
    <w:uiPriority w:val="99"/>
    <w:rPr>
      <w:sz w:val="18"/>
      <w:szCs w:val="18"/>
    </w:rPr>
  </w:style>
  <w:style w:type="character" w:customStyle="1" w:styleId="48">
    <w:name w:val="批注文字 字符"/>
    <w:basedOn w:val="21"/>
    <w:link w:val="12"/>
    <w:qFormat/>
    <w:uiPriority w:val="0"/>
  </w:style>
  <w:style w:type="character" w:customStyle="1" w:styleId="49">
    <w:name w:val="批注主题 字符"/>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character" w:customStyle="1" w:styleId="57">
    <w:name w:val="TAL Car"/>
    <w:link w:val="28"/>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修订1"/>
    <w:hidden/>
    <w:qFormat/>
    <w:uiPriority w:val="62"/>
    <w:rPr>
      <w:rFonts w:ascii="Times New Roman" w:hAnsi="Times New Roman" w:cs="Times New Roman" w:eastAsiaTheme="minorEastAsia"/>
      <w:sz w:val="24"/>
      <w:szCs w:val="24"/>
      <w:lang w:val="en-US" w:eastAsia="zh-CN" w:bidi="ar-SA"/>
    </w:rPr>
  </w:style>
  <w:style w:type="paragraph" w:customStyle="1" w:styleId="77">
    <w:name w:val="正文1"/>
    <w:qFormat/>
    <w:uiPriority w:val="0"/>
    <w:pPr>
      <w:jc w:val="both"/>
    </w:pPr>
    <w:rPr>
      <w:rFonts w:ascii="Times New Roman" w:hAnsi="Times New Roman" w:eastAsia="宋体" w:cs="Times New Roman"/>
      <w:kern w:val="2"/>
      <w:sz w:val="21"/>
      <w:szCs w:val="21"/>
      <w:lang w:val="en-US" w:eastAsia="zh-CN" w:bidi="ar-SA"/>
    </w:rPr>
  </w:style>
  <w:style w:type="character" w:styleId="78">
    <w:name w:val="Placeholder Text"/>
    <w:basedOn w:val="21"/>
    <w:unhideWhenUsed/>
    <w:qFormat/>
    <w:uiPriority w:val="99"/>
    <w:rPr>
      <w:color w:val="808080"/>
    </w:rPr>
  </w:style>
  <w:style w:type="paragraph" w:customStyle="1" w:styleId="79">
    <w:name w:val="PL"/>
    <w:link w:val="8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0">
    <w:name w:val="PL Char"/>
    <w:link w:val="79"/>
    <w:qFormat/>
    <w:uiPriority w:val="0"/>
    <w:rPr>
      <w:rFonts w:ascii="Courier New" w:hAnsi="Courier New" w:eastAsia="Times New Roman"/>
      <w:sz w:val="16"/>
      <w:shd w:val="clear" w:color="auto" w:fill="E6E6E6"/>
      <w:lang w:val="en-GB"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1991</Words>
  <Characters>11351</Characters>
  <Lines>94</Lines>
  <Paragraphs>26</Paragraphs>
  <TotalTime>8</TotalTime>
  <ScaleCrop>false</ScaleCrop>
  <LinksUpToDate>false</LinksUpToDate>
  <CharactersWithSpaces>13316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CMCC-shiyuan-0510</cp:lastModifiedBy>
  <dcterms:modified xsi:type="dcterms:W3CDTF">2024-05-13T06:50:32Z</dcterms:modified>
  <cp:revision>175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44F6D3E90F7D4B57837164FDC2BBA683</vt:lpwstr>
  </property>
</Properties>
</file>